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20" w:line="276" w:lineRule="auto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="276" w:lineRule="auto"/>
        <w:jc w:val="right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OBJAVA ZA MEDIJE</w:t>
      </w:r>
    </w:p>
    <w:p w:rsidR="00000000" w:rsidDel="00000000" w:rsidP="00000000" w:rsidRDefault="00000000" w:rsidRPr="00000000" w14:paraId="00000003">
      <w:pPr>
        <w:spacing w:after="120" w:line="276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David Maljković: “S kolekcijom”</w:t>
      </w:r>
    </w:p>
    <w:p w:rsidR="00000000" w:rsidDel="00000000" w:rsidP="00000000" w:rsidRDefault="00000000" w:rsidRPr="00000000" w14:paraId="00000004">
      <w:pPr>
        <w:spacing w:after="120" w:line="276" w:lineRule="auto"/>
        <w:jc w:val="center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Konferencijom za medije najavljeno sutrašnje otvorenje izložbe</w:t>
      </w:r>
    </w:p>
    <w:p w:rsidR="00000000" w:rsidDel="00000000" w:rsidP="00000000" w:rsidRDefault="00000000" w:rsidRPr="00000000" w14:paraId="00000005">
      <w:pPr>
        <w:spacing w:after="120" w:line="276" w:lineRule="auto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="276" w:lineRule="auto"/>
        <w:rPr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RIJEKA, 30.1. 2020 </w:t>
      </w:r>
      <w:r w:rsidDel="00000000" w:rsidR="00000000" w:rsidRPr="00000000">
        <w:rPr>
          <w:sz w:val="26"/>
          <w:szCs w:val="26"/>
          <w:rtl w:val="0"/>
        </w:rPr>
        <w:t xml:space="preserve">- U Muzeju moderne i suvremene umjetnosti u Rijeci u četvrtak je na konferenciji za medije najavljeno otvorenje izložbe Davida Maljkovića </w:t>
      </w:r>
      <w:r w:rsidDel="00000000" w:rsidR="00000000" w:rsidRPr="00000000">
        <w:rPr>
          <w:i w:val="1"/>
          <w:sz w:val="26"/>
          <w:szCs w:val="26"/>
          <w:rtl w:val="0"/>
        </w:rPr>
        <w:t xml:space="preserve">S kolekcijom</w:t>
      </w:r>
      <w:r w:rsidDel="00000000" w:rsidR="00000000" w:rsidRPr="00000000">
        <w:rPr>
          <w:sz w:val="26"/>
          <w:szCs w:val="26"/>
          <w:rtl w:val="0"/>
        </w:rPr>
        <w:t xml:space="preserve"> kojom će u petak 31. siječnja u 20 sati biti otvoren izložbeni ciklus programa Rijeke - Europske prijestolnice kulture. </w:t>
      </w:r>
    </w:p>
    <w:p w:rsidR="00000000" w:rsidDel="00000000" w:rsidP="00000000" w:rsidRDefault="00000000" w:rsidRPr="00000000" w14:paraId="00000007">
      <w:pPr>
        <w:spacing w:after="120" w:line="276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Kustosica izložbe Ivana Meštrov pojasnila je da je </w:t>
      </w:r>
      <w:r w:rsidDel="00000000" w:rsidR="00000000" w:rsidRPr="00000000">
        <w:rPr>
          <w:i w:val="1"/>
          <w:sz w:val="26"/>
          <w:szCs w:val="26"/>
          <w:rtl w:val="0"/>
        </w:rPr>
        <w:t xml:space="preserve">S kolekcijom</w:t>
      </w:r>
      <w:r w:rsidDel="00000000" w:rsidR="00000000" w:rsidRPr="00000000">
        <w:rPr>
          <w:sz w:val="26"/>
          <w:szCs w:val="26"/>
          <w:rtl w:val="0"/>
        </w:rPr>
        <w:t xml:space="preserve"> kompleksan spoj i otvoren sustav koji će svoje cjelovite konture zadobiti kroz trajanje izložbe a čija će slika biti puna tek na zatvaranju. Ujedno je to i izložba u</w:t>
      </w:r>
      <w:r w:rsidDel="00000000" w:rsidR="00000000" w:rsidRPr="00000000">
        <w:rPr>
          <w:sz w:val="26"/>
          <w:szCs w:val="26"/>
          <w:rtl w:val="0"/>
        </w:rPr>
        <w:t xml:space="preserve"> kojoj se David Maljković po prvi puta sveobuhvatno bavi jednom javnom kolekcijom koja nije direktan odraz njegovih vlastitih materijalnih, prostornih i sadržajnih istraživanja. “No niti ovdje ne izostaje autoreferencijalnosti. Naime, MMSU je okružje autorovih ranih umjetničkih početaka 1990-ih (Maljković je i rođen u Rijeci, 1973.) i potencijalno poticajan prostor za sagledavanje i reviziju autorovih pozicija nakon dvadesetak godina kontinuirane prisutnosti na međunarodnoj umjetničkoj sceni”, navodi Meštrov.</w:t>
      </w:r>
    </w:p>
    <w:p w:rsidR="00000000" w:rsidDel="00000000" w:rsidP="00000000" w:rsidRDefault="00000000" w:rsidRPr="00000000" w14:paraId="00000008">
      <w:pPr>
        <w:spacing w:after="120" w:line="276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Muzej, čija se kolekcija gradi od 1948. godine, od svog je zasnivanja promijenio više lokacija i imena, da bi se 2017. smjestio na riječkoj Krešimirovoj ulici, u bivšem tvorničkom kompleksu Benčić. Skrbi nad heterogenom kolekcijom, koja nikad nije imala prostor stalnog postava, a sadržava oko 8.000 artefakata, markiranih specifičnim podnebljem i programatskim izložbenim manifestacijama poput </w:t>
      </w:r>
      <w:r w:rsidDel="00000000" w:rsidR="00000000" w:rsidRPr="00000000">
        <w:rPr>
          <w:i w:val="1"/>
          <w:sz w:val="26"/>
          <w:szCs w:val="26"/>
          <w:rtl w:val="0"/>
        </w:rPr>
        <w:t xml:space="preserve">Bijenala mladih umjetnika Jugoslavije, Bijenala mladih Mediterana </w:t>
      </w:r>
      <w:r w:rsidDel="00000000" w:rsidR="00000000" w:rsidRPr="00000000">
        <w:rPr>
          <w:sz w:val="26"/>
          <w:szCs w:val="26"/>
          <w:rtl w:val="0"/>
        </w:rPr>
        <w:t xml:space="preserve">ili međunarodnih izložbi crteža i modernističkih salona. </w:t>
      </w:r>
    </w:p>
    <w:p w:rsidR="00000000" w:rsidDel="00000000" w:rsidP="00000000" w:rsidRDefault="00000000" w:rsidRPr="00000000" w14:paraId="00000009">
      <w:pPr>
        <w:spacing w:after="120" w:line="276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Okosnica je izložbe prikaz dijela tih artefakata na posebno izrađenoj masivnoj polici koja se proteže 40 metara dugim izložbenim prostorom, iznad klasičnog očišta promatrača. Riječ je o autorskoj intervenciji, Maljkovićevim riječima “gesti”, kojom predmete iz muzejske zbirke tretira kao skupne panoramske fakte, a ne pojedinačne artefakte, izlažući ih nehijerarhijski i nelinearno.</w:t>
      </w:r>
    </w:p>
    <w:p w:rsidR="00000000" w:rsidDel="00000000" w:rsidP="00000000" w:rsidRDefault="00000000" w:rsidRPr="00000000" w14:paraId="0000000A">
      <w:pPr>
        <w:spacing w:after="120" w:line="276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No </w:t>
      </w:r>
      <w:r w:rsidDel="00000000" w:rsidR="00000000" w:rsidRPr="00000000">
        <w:rPr>
          <w:i w:val="1"/>
          <w:sz w:val="26"/>
          <w:szCs w:val="26"/>
          <w:rtl w:val="0"/>
        </w:rPr>
        <w:t xml:space="preserve">S kolekcijom</w:t>
      </w:r>
      <w:r w:rsidDel="00000000" w:rsidR="00000000" w:rsidRPr="00000000">
        <w:rPr>
          <w:sz w:val="26"/>
          <w:szCs w:val="26"/>
          <w:rtl w:val="0"/>
        </w:rPr>
        <w:t xml:space="preserve"> je mnogo više od opisane instalacije. David Maljković naglašava da je to prije svega senzibilan proces u kojem sudjeluje niz ravnopravnih participanata. Tako prostor otvara i trima autorima mlađe generacije, koji se na različite načine dotiču njezinih tema – kolekcije i muzeja kao društvene baze i infrastrukture. </w:t>
      </w:r>
    </w:p>
    <w:p w:rsidR="00000000" w:rsidDel="00000000" w:rsidP="00000000" w:rsidRDefault="00000000" w:rsidRPr="00000000" w14:paraId="0000000B">
      <w:pPr>
        <w:spacing w:after="120" w:line="276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Najvidljiviji rad u javnom prostoru onaj je umjetnice Dore Budor - monokromna intervencija kojom je fasada muzejske zgrade u potpunosti prekrivena sjajnom i gustom crvenom bojom. Ona specifično označava zgradu i sve njezine detalje ukazujući na za Muzej izvjesne scenarije (njegovo prostorno širenje na drugi kat) ali i otvarajući prostor za interakciju s prolaznicima koja se već obilato dešava. Koristeći se primjerima iz kinematografije, Budor se u radu referira na arhitektonska obilježja u filmu, pri čemu se crvena boja dovodi u vezu s filmom </w:t>
      </w:r>
      <w:r w:rsidDel="00000000" w:rsidR="00000000" w:rsidRPr="00000000">
        <w:rPr>
          <w:i w:val="1"/>
          <w:sz w:val="26"/>
          <w:szCs w:val="26"/>
          <w:rtl w:val="0"/>
        </w:rPr>
        <w:t xml:space="preserve">Crvena pustinja</w:t>
      </w:r>
      <w:r w:rsidDel="00000000" w:rsidR="00000000" w:rsidRPr="00000000">
        <w:rPr>
          <w:sz w:val="26"/>
          <w:szCs w:val="26"/>
          <w:rtl w:val="0"/>
        </w:rPr>
        <w:t xml:space="preserve"> Michelangela Antonionija. Simptomatičan je i rečenični slijed preuzet iz navedenog filma: </w:t>
      </w:r>
      <w:r w:rsidDel="00000000" w:rsidR="00000000" w:rsidRPr="00000000">
        <w:rPr>
          <w:i w:val="1"/>
          <w:sz w:val="26"/>
          <w:szCs w:val="26"/>
          <w:rtl w:val="0"/>
        </w:rPr>
        <w:t xml:space="preserve">There’s something terrible about reality and I do not know what it is. No one will tell me.</w:t>
      </w:r>
      <w:r w:rsidDel="00000000" w:rsidR="00000000" w:rsidRPr="00000000">
        <w:rPr>
          <w:sz w:val="26"/>
          <w:szCs w:val="26"/>
          <w:rtl w:val="0"/>
        </w:rPr>
        <w:t xml:space="preserve"> po kojem je Dora Budor nazvala intervenciju, a koji, riječima kustosice Meštrov, “kao saliven prianja izložbi, i današnjem vremenu”.</w:t>
      </w:r>
    </w:p>
    <w:p w:rsidR="00000000" w:rsidDel="00000000" w:rsidP="00000000" w:rsidRDefault="00000000" w:rsidRPr="00000000" w14:paraId="0000000C">
      <w:pPr>
        <w:spacing w:after="120" w:line="276" w:lineRule="auto"/>
        <w:rPr>
          <w:sz w:val="26"/>
          <w:szCs w:val="26"/>
        </w:rPr>
      </w:pPr>
      <w:r w:rsidDel="00000000" w:rsidR="00000000" w:rsidRPr="00000000">
        <w:rPr>
          <w:i w:val="1"/>
          <w:sz w:val="26"/>
          <w:szCs w:val="26"/>
          <w:rtl w:val="0"/>
        </w:rPr>
        <w:t xml:space="preserve">S kolekcijom</w:t>
      </w:r>
      <w:r w:rsidDel="00000000" w:rsidR="00000000" w:rsidRPr="00000000">
        <w:rPr>
          <w:sz w:val="26"/>
          <w:szCs w:val="26"/>
          <w:rtl w:val="0"/>
        </w:rPr>
        <w:t xml:space="preserve"> ugošćava i </w:t>
      </w:r>
      <w:r w:rsidDel="00000000" w:rsidR="00000000" w:rsidRPr="00000000">
        <w:rPr>
          <w:i w:val="1"/>
          <w:sz w:val="26"/>
          <w:szCs w:val="26"/>
          <w:rtl w:val="0"/>
        </w:rPr>
        <w:t xml:space="preserve">Muzej kristalne lubanje</w:t>
      </w:r>
      <w:r w:rsidDel="00000000" w:rsidR="00000000" w:rsidRPr="00000000">
        <w:rPr>
          <w:sz w:val="26"/>
          <w:szCs w:val="26"/>
          <w:rtl w:val="0"/>
        </w:rPr>
        <w:t xml:space="preserve"> kojega je 2019. utemeljio vizualni umjetnik i grafički dizajner, Niko Mihaljević. </w:t>
      </w:r>
      <w:r w:rsidDel="00000000" w:rsidR="00000000" w:rsidRPr="00000000">
        <w:rPr>
          <w:i w:val="1"/>
          <w:sz w:val="26"/>
          <w:szCs w:val="26"/>
          <w:rtl w:val="0"/>
        </w:rPr>
        <w:t xml:space="preserve">Muzej kristalne lubanje </w:t>
      </w:r>
      <w:r w:rsidDel="00000000" w:rsidR="00000000" w:rsidRPr="00000000">
        <w:rPr>
          <w:sz w:val="26"/>
          <w:szCs w:val="26"/>
          <w:rtl w:val="0"/>
        </w:rPr>
        <w:t xml:space="preserve">na primjeru Mitchell-Hedgesove kristalne lubanje, danas važne pop-kulturne reference, ulazi u pitanje muzejskog kolekcioniranja, navodi Mihaljević te pojašnjava da mu je poticaj pri gradnji </w:t>
      </w:r>
      <w:r w:rsidDel="00000000" w:rsidR="00000000" w:rsidRPr="00000000">
        <w:rPr>
          <w:i w:val="1"/>
          <w:sz w:val="26"/>
          <w:szCs w:val="26"/>
          <w:rtl w:val="0"/>
        </w:rPr>
        <w:t xml:space="preserve">Muzeja kristalne lubanje</w:t>
      </w:r>
      <w:r w:rsidDel="00000000" w:rsidR="00000000" w:rsidRPr="00000000">
        <w:rPr>
          <w:sz w:val="26"/>
          <w:szCs w:val="26"/>
          <w:rtl w:val="0"/>
        </w:rPr>
        <w:t xml:space="preserve"> bilo zanimanje za proces tijekom kojeg se fikcija i mit transformiraju u suvremenu pop kulturu.</w:t>
      </w:r>
    </w:p>
    <w:p w:rsidR="00000000" w:rsidDel="00000000" w:rsidP="00000000" w:rsidRDefault="00000000" w:rsidRPr="00000000" w14:paraId="0000000D">
      <w:pPr>
        <w:spacing w:after="120" w:line="276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 umjetnica Nora Turato bavit će se pitanjem kolekcije. U korelaciji s riječkom građanskom kolekcijom Vila Ružić, Turato gradi druge načine pristupa zbirci, u dijalogu sa skrbnikom zbirke Theodorom de Canzijanijem.</w:t>
      </w:r>
    </w:p>
    <w:p w:rsidR="00000000" w:rsidDel="00000000" w:rsidP="00000000" w:rsidRDefault="00000000" w:rsidRPr="00000000" w14:paraId="0000000E">
      <w:pPr>
        <w:spacing w:after="120" w:line="276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Buduća izložbena događanja uključuju i radionicu sa studentima Werkplaats Typografie (zaslužnima za vizualni identitet izložbe), WHW Akademije i riječke Akademije primijenjenih umjetnosti, čiji će prijevodi kolekcije i pogledi utkani u dijalog s kolekcijom postati integralnim dijelom izložbe. </w:t>
      </w:r>
    </w:p>
    <w:p w:rsidR="00000000" w:rsidDel="00000000" w:rsidP="00000000" w:rsidRDefault="00000000" w:rsidRPr="00000000" w14:paraId="0000000F">
      <w:pPr>
        <w:spacing w:after="120" w:line="276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Unutar izložbe djeluje muzejski bar čiji je voditelj Damir Čargonja Čarli, nekadašnji voditelj značajnog društveno-kulturnog prostora Rijeke kroz 90-te i 2000-te, MMC-a Palacha, i danas vitalni animator riječke scene. </w:t>
      </w:r>
    </w:p>
    <w:p w:rsidR="00000000" w:rsidDel="00000000" w:rsidP="00000000" w:rsidRDefault="00000000" w:rsidRPr="00000000" w14:paraId="00000010">
      <w:pPr>
        <w:spacing w:after="120" w:line="276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Tijekom njezina trajanja u Muzeju će se desiti dvije večere/i, koje će dati na važnosti bitnim protagonistima riječke kulturno-umjetničke scene nekad i danas (Igor Rukavina, Klas Grdić, Žarko Violić, Branko Cerovac, Damir Čargonja Čarli), ljudima koji su, Maljkovićevim riječima, u njegovim formativnim godinama “činili ovaj prostor smislenim”.</w:t>
      </w:r>
    </w:p>
    <w:p w:rsidR="00000000" w:rsidDel="00000000" w:rsidP="00000000" w:rsidRDefault="00000000" w:rsidRPr="00000000" w14:paraId="00000011">
      <w:pPr>
        <w:spacing w:after="120" w:line="276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“Ovo je formiranje priče o devedesetima u Rijeci”, kazao je pročelnik Odjela gradske uprave za kulturu Ivan Šarar. Referirao se pritom se na početke tranzicijskih procesa u gradu iz kojih nisu bili izuzeti ni MMSU i njegova zbirka, na pogled na taj period iz vremenske distance ali i na njegovu nezavršenost. Naime, Maljkovićeva izložba skreće pozornost na činjenicu da MMSU još uvijek markira svoj prostor. “Otvaranjem brojnih razgovora, s mladim umjetnicima, studentima i sudionicima scene devedesetih, ovom pričom iniciramo katarzu u kojoj će muzej dobiti prostor za stalni postav. Na drugom katu zgrade”, najavio je Šarar.</w:t>
      </w:r>
    </w:p>
    <w:p w:rsidR="00000000" w:rsidDel="00000000" w:rsidP="00000000" w:rsidRDefault="00000000" w:rsidRPr="00000000" w14:paraId="00000012">
      <w:pPr>
        <w:spacing w:after="120" w:line="276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Emina Višnić, direktorica RIJEKA 2020, kazala je da ova izložba mnogo govori o karakteru cijelog EPK programa - od njene izvrsnosti do (neočekivanog) načina na koji tretira kolekciju muzeja. Najavila je i da će MMSU u 2020. nanizati brojne izvrsne izložbe, niz u 2021. zaključiti izložbom Sanje Iveković “a taj je krug, od Davida Maljkovića do Sanje Iveković, sasvim smislen”, kazala je Višnić.</w:t>
      </w:r>
    </w:p>
    <w:sectPr>
      <w:headerReference r:id="rId7" w:type="default"/>
      <w:footerReference r:id="rId8" w:type="default"/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jc w:val="right"/>
      <w:rPr/>
    </w:pPr>
    <w:r w:rsidDel="00000000" w:rsidR="00000000" w:rsidRPr="00000000">
      <w:rPr>
        <w:rtl w:val="0"/>
      </w:rPr>
      <w:t xml:space="preserve">Supported by </w:t>
    </w:r>
    <w:r w:rsidDel="00000000" w:rsidR="00000000" w:rsidRPr="00000000">
      <w:rPr/>
      <w:drawing>
        <wp:inline distB="114300" distT="114300" distL="114300" distR="114300">
          <wp:extent cx="1219200" cy="514350"/>
          <wp:effectExtent b="0" l="0" r="0" t="0"/>
          <wp:docPr id="1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19200" cy="5143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3">
    <w:pPr>
      <w:tabs>
        <w:tab w:val="center" w:pos="4536"/>
        <w:tab w:val="right" w:pos="9072"/>
      </w:tabs>
      <w:spacing w:line="360" w:lineRule="auto"/>
      <w:jc w:val="right"/>
      <w:rPr/>
    </w:pPr>
    <w:r w:rsidDel="00000000" w:rsidR="00000000" w:rsidRPr="00000000">
      <w:rPr>
        <w:rFonts w:ascii="Calibri" w:cs="Calibri" w:eastAsia="Calibri" w:hAnsi="Calibri"/>
      </w:rPr>
      <w:drawing>
        <wp:inline distB="0" distT="0" distL="114300" distR="114300">
          <wp:extent cx="2595563" cy="723900"/>
          <wp:effectExtent b="0" l="0" r="0" t="0"/>
          <wp:docPr id="1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95563" cy="7239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-342894</wp:posOffset>
          </wp:positionH>
          <wp:positionV relativeFrom="paragraph">
            <wp:posOffset>-9521</wp:posOffset>
          </wp:positionV>
          <wp:extent cx="1343660" cy="604520"/>
          <wp:effectExtent b="0" l="0" r="0" t="0"/>
          <wp:wrapSquare wrapText="bothSides" distB="0" distT="0" distL="114300" distR="114300"/>
          <wp:docPr id="10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43660" cy="60452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saovN1I3DTndLY2M6gi4/kNeZog==">AMUW2mUBQdgiLZeAbWnbxfzqHh7G0hKnNCbIPomPyH01waCXjwGKmMAyBqjXW7o9RyqtOBWZWh4HgKCSgH+EP/2RlpPEAibPunopMr/zvTV47X372ECI+yY=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