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David Maljković: “S kolekcijom”</w:t>
      </w:r>
    </w:p>
    <w:p w:rsidR="00000000" w:rsidDel="00000000" w:rsidP="00000000" w:rsidRDefault="00000000" w:rsidRPr="00000000" w14:paraId="00000003">
      <w:pPr>
        <w:spacing w:after="100" w:line="276" w:lineRule="auto"/>
        <w:rPr/>
      </w:pPr>
      <w:r w:rsidDel="00000000" w:rsidR="00000000" w:rsidRPr="00000000">
        <w:rPr>
          <w:rtl w:val="0"/>
        </w:rPr>
        <w:t xml:space="preserve">Kustoski tekst kustosice izložbe Ivane Meštrov</w:t>
      </w:r>
    </w:p>
    <w:p w:rsidR="00000000" w:rsidDel="00000000" w:rsidP="00000000" w:rsidRDefault="00000000" w:rsidRPr="00000000" w14:paraId="00000004">
      <w:pPr>
        <w:spacing w:after="1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line="276" w:lineRule="auto"/>
        <w:rPr/>
      </w:pPr>
      <w:r w:rsidDel="00000000" w:rsidR="00000000" w:rsidRPr="00000000">
        <w:rPr>
          <w:rtl w:val="0"/>
        </w:rPr>
        <w:t xml:space="preserve">Izložba kao instalacija, estetski medij i kulturološka praksa, jedno je od primarnih područja suvremenih estetskih praksi. Reprezentant i kulisa transformacija umjetničkih činjenica, odraz razvoja novih tehnologija percepcije i načina gledanja, izložba je svojevrsna vremenska kapsula i manifest preživljenih slikovnih formi, estetskih gesti i stavova. U svojoj umjetničkoj praksi David Maljković koristi izložbu kao sirovi materijal i otvorenu formu kroz koju cirkuliraju narativni odrazi i materijalni fakti njegovih prethodno ostvarenih oblika i prezentacijskih struktura, kumulirajući nove prostorno-specifične instalacije, kolaže i asemblaže. </w:t>
      </w:r>
    </w:p>
    <w:p w:rsidR="00000000" w:rsidDel="00000000" w:rsidP="00000000" w:rsidRDefault="00000000" w:rsidRPr="00000000" w14:paraId="00000006">
      <w:pPr>
        <w:spacing w:after="100" w:line="276" w:lineRule="auto"/>
        <w:rPr/>
      </w:pPr>
      <w:r w:rsidDel="00000000" w:rsidR="00000000" w:rsidRPr="00000000">
        <w:rPr>
          <w:i w:val="1"/>
          <w:rtl w:val="0"/>
        </w:rPr>
        <w:t xml:space="preserve">S kolekcijom</w:t>
      </w:r>
      <w:r w:rsidDel="00000000" w:rsidR="00000000" w:rsidRPr="00000000">
        <w:rPr>
          <w:rtl w:val="0"/>
        </w:rPr>
        <w:t xml:space="preserve"> izložba je u kojoj se ovaj autor po prvi puta tako sveobuhvatno bavi jednom javnom kolekcijom koja nije direktan odraz njegovih vlastitih materijalnih, prostornih i sadržajnih istraživanja. No, iako možda ne na prvi pogled, niti ovdje ne izostaje autoreferencijalnosti. Naime, Muzej moderne i suvremene umjetnosti u Rijeci okružje je autorovih ranih umjetničkih početaka 1990-ih (Maljković je i rođen u Rijeci 1973.) i potencijalno poticajan prostor za sagledavanje i reviziju autorskih pozicija nakon dvadesetak godina kontinuirane prisutnosti na međunarodnoj umjetničkoj sceni. Izložba </w:t>
      </w:r>
      <w:r w:rsidDel="00000000" w:rsidR="00000000" w:rsidRPr="00000000">
        <w:rPr>
          <w:i w:val="1"/>
          <w:rtl w:val="0"/>
        </w:rPr>
        <w:t xml:space="preserve">S kolekcijom</w:t>
      </w:r>
      <w:r w:rsidDel="00000000" w:rsidR="00000000" w:rsidRPr="00000000">
        <w:rPr>
          <w:rtl w:val="0"/>
        </w:rPr>
        <w:t xml:space="preserve"> vrti se oko mreže Maljkovićevih suptilnih vizualnih znakova, ali i specifičnih narativnih fragmenata i uočenih lokalnih referenci. Muzej, čija se kolekcija gradi od 1948. godine, a čiji je jedan od pokretača i prvi direktor ujedno i umjetnik,Vilim Svečnjak, od svog je zasnivanja promijenio više lokacija i imena, da bi se odnedavno (2017.) našao na lokaciji koja će mu kroz europski mandat kulture 2020. dati širi i trajniji kontekst unutar riječkoga umjetničkog okruga. Muzej skrbi nad heterogenom kolekcijom koja sadržava otprilike 8.000 artefakata, markiranih specifičnim podnebljem, ali i programatskim izložbenim manifestacijama poput </w:t>
      </w:r>
      <w:r w:rsidDel="00000000" w:rsidR="00000000" w:rsidRPr="00000000">
        <w:rPr>
          <w:i w:val="1"/>
          <w:rtl w:val="0"/>
        </w:rPr>
        <w:t xml:space="preserve">Bijenala mladih umjetnika Jugoslavije </w:t>
      </w:r>
      <w:r w:rsidDel="00000000" w:rsidR="00000000" w:rsidRPr="00000000">
        <w:rPr>
          <w:rtl w:val="0"/>
        </w:rPr>
        <w:t xml:space="preserve">(1960. – 1991.), </w:t>
      </w:r>
      <w:r w:rsidDel="00000000" w:rsidR="00000000" w:rsidRPr="00000000">
        <w:rPr>
          <w:i w:val="1"/>
          <w:rtl w:val="0"/>
        </w:rPr>
        <w:t xml:space="preserve">Bijenala mladih Mediterana </w:t>
      </w:r>
      <w:r w:rsidDel="00000000" w:rsidR="00000000" w:rsidRPr="00000000">
        <w:rPr>
          <w:rtl w:val="0"/>
        </w:rPr>
        <w:t xml:space="preserve">(1993. – 1997., posredno kao dio BJCEM mreže kroz 2000.), međunarodnih izložbi crteža i modernističkih salona (1954. – 1963.).</w:t>
      </w:r>
    </w:p>
    <w:p w:rsidR="00000000" w:rsidDel="00000000" w:rsidP="00000000" w:rsidRDefault="00000000" w:rsidRPr="00000000" w14:paraId="00000007">
      <w:pPr>
        <w:spacing w:after="100" w:line="276" w:lineRule="auto"/>
        <w:rPr/>
      </w:pPr>
      <w:r w:rsidDel="00000000" w:rsidR="00000000" w:rsidRPr="00000000">
        <w:rPr>
          <w:rtl w:val="0"/>
        </w:rPr>
        <w:t xml:space="preserve">Autorskom je intervencijom (po Maljkovićevim riječima 'gestom') kolekcija Muzeja tretirana nehijerarhijski i nelinearno. Muzejski su predmeti postavljeni na istoj razini, iznad klasičnog očišta promatrača, na posebno izrađenoj masivnoj polici koja se proteže 40 m dugim izložbenim prostorom. Nerijetko nevidljivi i zatvoreni u depo zbog kontinuiranog manjka prostora za izlaganje stalnog postava kolekcije kroz povijest muzeja, a možda i opće potrebe za tim, oni su ovdje tretirani kao skupni, panoramski fakti, a ne singularni artefakti. Dani na pogled, neki više, a neki manje u svojoj materijalnoj prezentnosti, oni su </w:t>
      </w:r>
      <w:r w:rsidDel="00000000" w:rsidR="00000000" w:rsidRPr="00000000">
        <w:rPr>
          <w:i w:val="1"/>
          <w:rtl w:val="0"/>
        </w:rPr>
        <w:t xml:space="preserve">zipani folderi</w:t>
      </w:r>
      <w:r w:rsidDel="00000000" w:rsidR="00000000" w:rsidRPr="00000000">
        <w:rPr>
          <w:rtl w:val="0"/>
        </w:rPr>
        <w:t xml:space="preserve"> kolektivne memorije jedne zajednice, kao i generalni marker umjetničkih stvaranja modernog i suvremenog razdoblja koje će svaki posjetitelj moći čitati bez muzeografskog šalabahtera, koristeći ključeve vlastitih referenci. Takva scenografija izložbe postavlja otvoreni prostorni tlocrt za buduću kolekciju programskih aktivnosti, ponašanja i gesti koje će se desiti uz muzejsku kolekciju.</w:t>
      </w:r>
    </w:p>
    <w:p w:rsidR="00000000" w:rsidDel="00000000" w:rsidP="00000000" w:rsidRDefault="00000000" w:rsidRPr="00000000" w14:paraId="00000008">
      <w:pPr>
        <w:spacing w:after="100" w:line="276" w:lineRule="auto"/>
        <w:rPr/>
      </w:pPr>
      <w:r w:rsidDel="00000000" w:rsidR="00000000" w:rsidRPr="00000000">
        <w:rPr>
          <w:rtl w:val="0"/>
        </w:rPr>
        <w:t xml:space="preserve">Unutar izložbe djeluje muzejski bar čiji je voditelj Damir Čargonja Čarli, nekadašnji voditelj značajnog društveno-kulturnog prostora Rijeke kroz 90-te i 2000-te, MMC-a Palach, i danas vitalni animator riječke scene. Tijekom njezina trajanja u otvorenom će se tlocrtu desiti dvije večere/i, koje će dati na važnosti, po Maljkoviću bitnim protagonistima riječke kulturno-umjetničke scene, nekad i sad. Neka buduća izložbena događanja uključuju i radionicu sa studentima na kojoj se kolekcija razmatra kao skripta, a digitalna muzejska baza podataka služi kao komunikacijski alat i poticaj za studentske intervencije i komentare. Studenti/ce će ovoj specifičnoj kolekciji prići iz različitih očišta, relativizirajućih geo-kulturoloških blizina, ali i distanci. Njihovi će prijevodi i pogledi utkani u dijalog s kolekcijom postati integralnim dijelom izložbe. </w:t>
      </w:r>
    </w:p>
    <w:p w:rsidR="00000000" w:rsidDel="00000000" w:rsidP="00000000" w:rsidRDefault="00000000" w:rsidRPr="00000000" w14:paraId="00000009">
      <w:pPr>
        <w:spacing w:after="100" w:line="276" w:lineRule="auto"/>
        <w:rPr/>
      </w:pPr>
      <w:r w:rsidDel="00000000" w:rsidR="00000000" w:rsidRPr="00000000">
        <w:rPr>
          <w:i w:val="1"/>
          <w:rtl w:val="0"/>
        </w:rPr>
        <w:t xml:space="preserve">S kolekcijom</w:t>
      </w:r>
      <w:r w:rsidDel="00000000" w:rsidR="00000000" w:rsidRPr="00000000">
        <w:rPr>
          <w:rtl w:val="0"/>
        </w:rPr>
        <w:t xml:space="preserve"> otvara prostor i trima autorima mlađe generacije, koji se na različite načine dotiču njezinih tema – kolekcije i muzeja kao društvene baze i infrastrukture. </w:t>
      </w:r>
    </w:p>
    <w:p w:rsidR="00000000" w:rsidDel="00000000" w:rsidP="00000000" w:rsidRDefault="00000000" w:rsidRPr="00000000" w14:paraId="0000000A">
      <w:pPr>
        <w:spacing w:after="100" w:line="276" w:lineRule="auto"/>
        <w:rPr/>
      </w:pPr>
      <w:r w:rsidDel="00000000" w:rsidR="00000000" w:rsidRPr="00000000">
        <w:rPr>
          <w:rtl w:val="0"/>
        </w:rPr>
        <w:t xml:space="preserve">Nora Turato u korelaciji s riječkom građanskom kolekcijom Vila Ružić gradi druge načine pristupa zbirci. Turato, koja u svojoj zapaženoj umjetničkoj praksi performativnog karaktera kontinuirano prikuplja jezične naplavine iz najrazličitijih izvora (od interneta preko društvenih mreža, medija, reklama...) pretačući ih u bazene truizama, promatra jezik kao </w:t>
      </w:r>
      <w:r w:rsidDel="00000000" w:rsidR="00000000" w:rsidRPr="00000000">
        <w:rPr>
          <w:i w:val="1"/>
          <w:rtl w:val="0"/>
        </w:rPr>
        <w:t xml:space="preserve">genius loci </w:t>
      </w:r>
      <w:r w:rsidDel="00000000" w:rsidR="00000000" w:rsidRPr="00000000">
        <w:rPr>
          <w:rtl w:val="0"/>
        </w:rPr>
        <w:t xml:space="preserve">žamora današnjice, ali ga i internalizira kroz vlastiti autorski metabolizam i ko-produkciju novih značenja. </w:t>
      </w:r>
    </w:p>
    <w:p w:rsidR="00000000" w:rsidDel="00000000" w:rsidP="00000000" w:rsidRDefault="00000000" w:rsidRPr="00000000" w14:paraId="0000000B">
      <w:pPr>
        <w:spacing w:after="100" w:line="276" w:lineRule="auto"/>
        <w:rPr/>
      </w:pPr>
      <w:r w:rsidDel="00000000" w:rsidR="00000000" w:rsidRPr="00000000">
        <w:rPr>
          <w:i w:val="1"/>
          <w:rtl w:val="0"/>
        </w:rPr>
        <w:t xml:space="preserve">S kolekcijom</w:t>
      </w:r>
      <w:r w:rsidDel="00000000" w:rsidR="00000000" w:rsidRPr="00000000">
        <w:rPr>
          <w:rtl w:val="0"/>
        </w:rPr>
        <w:t xml:space="preserve"> ugošćava i </w:t>
      </w:r>
      <w:r w:rsidDel="00000000" w:rsidR="00000000" w:rsidRPr="00000000">
        <w:rPr>
          <w:i w:val="1"/>
          <w:rtl w:val="0"/>
        </w:rPr>
        <w:t xml:space="preserve">Muzej kristalne lubanje</w:t>
      </w:r>
      <w:r w:rsidDel="00000000" w:rsidR="00000000" w:rsidRPr="00000000">
        <w:rPr>
          <w:rtl w:val="0"/>
        </w:rPr>
        <w:t xml:space="preserve"> kojega je 2019. utemeljio vizualni umjetnik i grafički dizajner, Niko Mihaljević. Kristalna lubanja nije samo mitologizirani artefakt smješten u imaginarij revitalizirajuće popularne kulture (kristalna lubanja kao predmet jednog od nastavaka filmskog serijala </w:t>
      </w:r>
      <w:r w:rsidDel="00000000" w:rsidR="00000000" w:rsidRPr="00000000">
        <w:rPr>
          <w:i w:val="1"/>
          <w:rtl w:val="0"/>
        </w:rPr>
        <w:t xml:space="preserve">Indiana Jones</w:t>
      </w:r>
      <w:r w:rsidDel="00000000" w:rsidR="00000000" w:rsidRPr="00000000">
        <w:rPr>
          <w:rtl w:val="0"/>
        </w:rPr>
        <w:t xml:space="preserve">, epizode Bonnellijevog stripa Martin Mystère…) nego je i </w:t>
      </w:r>
      <w:r w:rsidDel="00000000" w:rsidR="00000000" w:rsidRPr="00000000">
        <w:rPr>
          <w:i w:val="1"/>
          <w:rtl w:val="0"/>
        </w:rPr>
        <w:t xml:space="preserve">false fact </w:t>
      </w:r>
      <w:r w:rsidDel="00000000" w:rsidR="00000000" w:rsidRPr="00000000">
        <w:rPr>
          <w:rtl w:val="0"/>
        </w:rPr>
        <w:t xml:space="preserve">(krivo datiran predmet oduzete aure). U zasićenom izložbenom prostoru dešava se ironična i poletna Mihaljevićeva subverzija na rubovima onoga što Hito Steyerl naziva lošom slikom. U izložbenom prostoru se predstavlja nezakonita kopilad naoko izvorne slike upitnog rodoslovlja predstavljene u nizu generacija. Prkosi se baštini, nacionalnoj kulturi pa i autorskim pravima, ruga se obećanjima digitalne tehnologije, a slika se prenosi kao mamac, indeks, meka ili podsjetnik na svoje bivše (ako je ikada i postojalo) biće.</w:t>
      </w:r>
    </w:p>
    <w:p w:rsidR="00000000" w:rsidDel="00000000" w:rsidP="00000000" w:rsidRDefault="00000000" w:rsidRPr="00000000" w14:paraId="0000000C">
      <w:pPr>
        <w:spacing w:after="100" w:line="276" w:lineRule="auto"/>
        <w:rPr/>
      </w:pPr>
      <w:r w:rsidDel="00000000" w:rsidR="00000000" w:rsidRPr="00000000">
        <w:rPr>
          <w:rtl w:val="0"/>
        </w:rPr>
        <w:t xml:space="preserve">U sklopu izložbe, fasadu muzejske zgrade koju tek čeka obnova, prekrila je sjajna i gusta crvena boja, monokromna umjetnička intervencija Dore Budor. Ona specifično označava zgradu i sve njezine detalje ukazujući na izvjesne scenarije za nju (prostorno širenje muzeja na drugi kat), ali i otvarajući prostor za </w:t>
      </w:r>
      <w:r w:rsidDel="00000000" w:rsidR="00000000" w:rsidRPr="00000000">
        <w:rPr>
          <w:i w:val="1"/>
          <w:rtl w:val="0"/>
        </w:rPr>
        <w:t xml:space="preserve">community</w:t>
      </w:r>
      <w:r w:rsidDel="00000000" w:rsidR="00000000" w:rsidRPr="00000000">
        <w:rPr>
          <w:rtl w:val="0"/>
        </w:rPr>
        <w:t xml:space="preserve"> fikcije. Koristeći se primjerima iz kinematografije, Budor se u radu referira na arhitektonska obilježja u filmu, pri čemu se crvena boja dovodi u vezu s filmom </w:t>
      </w:r>
      <w:r w:rsidDel="00000000" w:rsidR="00000000" w:rsidRPr="00000000">
        <w:rPr>
          <w:i w:val="1"/>
          <w:rtl w:val="0"/>
        </w:rPr>
        <w:t xml:space="preserve">Crvena pustinja</w:t>
      </w:r>
      <w:r w:rsidDel="00000000" w:rsidR="00000000" w:rsidRPr="00000000">
        <w:rPr>
          <w:rtl w:val="0"/>
        </w:rPr>
        <w:t xml:space="preserve"> Michelangela Antonionija. Simptomatičan je i rečenični slijed preuzet iz filma: </w:t>
      </w:r>
      <w:r w:rsidDel="00000000" w:rsidR="00000000" w:rsidRPr="00000000">
        <w:rPr>
          <w:i w:val="1"/>
          <w:rtl w:val="0"/>
        </w:rPr>
        <w:t xml:space="preserve">There’s something terrible about reality and I do not know what it is. No one will tell me.</w:t>
      </w:r>
      <w:r w:rsidDel="00000000" w:rsidR="00000000" w:rsidRPr="00000000">
        <w:rPr>
          <w:rtl w:val="0"/>
        </w:rPr>
        <w:t xml:space="preserve"> po kojoj je Dora Budor nazvala intervenciju, a koja kao salivena prianja izložbi.I današnjem vremenu.</w:t>
      </w:r>
    </w:p>
    <w:p w:rsidR="00000000" w:rsidDel="00000000" w:rsidP="00000000" w:rsidRDefault="00000000" w:rsidRPr="00000000" w14:paraId="0000000D">
      <w:pPr>
        <w:spacing w:after="100" w:line="276" w:lineRule="auto"/>
        <w:rPr/>
      </w:pPr>
      <w:r w:rsidDel="00000000" w:rsidR="00000000" w:rsidRPr="00000000">
        <w:rPr>
          <w:rtl w:val="0"/>
        </w:rPr>
        <w:t xml:space="preserve">Izložba </w:t>
      </w:r>
      <w:r w:rsidDel="00000000" w:rsidR="00000000" w:rsidRPr="00000000">
        <w:rPr>
          <w:i w:val="1"/>
          <w:rtl w:val="0"/>
        </w:rPr>
        <w:t xml:space="preserve">S kolekcijom</w:t>
      </w:r>
      <w:r w:rsidDel="00000000" w:rsidR="00000000" w:rsidRPr="00000000">
        <w:rPr>
          <w:rtl w:val="0"/>
        </w:rPr>
        <w:t xml:space="preserve"> kompleksan je spoj i otvoren sustav. Svoje cjelovite konture zadobit će kroz trajanje izložbe i u nizu interakcija neizvjesnog ishoda. </w:t>
      </w:r>
      <w:r w:rsidDel="00000000" w:rsidR="00000000" w:rsidRPr="00000000">
        <w:rPr>
          <w:i w:val="1"/>
          <w:rtl w:val="0"/>
        </w:rPr>
        <w:t xml:space="preserve">S kolekcijom</w:t>
      </w:r>
      <w:r w:rsidDel="00000000" w:rsidR="00000000" w:rsidRPr="00000000">
        <w:rPr>
          <w:rtl w:val="0"/>
        </w:rPr>
        <w:t xml:space="preserve"> otvara pitanje vrijednosti i društvenih odgovornosti koje gradimo unutar i izvan muzejskih zidova, među muzejskim predmetima, programskim aktivnostima, muzejskim radnicima i muzejskim korisnicima.</w:t>
      </w:r>
    </w:p>
    <w:sectPr>
      <w:headerReference r:id="rId7" w:type="default"/>
      <w:foot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right"/>
      <w:rPr/>
    </w:pPr>
    <w:r w:rsidDel="00000000" w:rsidR="00000000" w:rsidRPr="00000000">
      <w:rPr>
        <w:rtl w:val="0"/>
      </w:rPr>
      <w:t xml:space="preserve">Supported by </w:t>
    </w:r>
    <w:r w:rsidDel="00000000" w:rsidR="00000000" w:rsidRPr="00000000">
      <w:rPr/>
      <w:drawing>
        <wp:inline distB="114300" distT="114300" distL="114300" distR="114300">
          <wp:extent cx="1219200" cy="51435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514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tabs>
        <w:tab w:val="center" w:pos="4536"/>
        <w:tab w:val="right" w:pos="9072"/>
      </w:tabs>
      <w:spacing w:line="360" w:lineRule="auto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114300" distR="114300">
          <wp:extent cx="2595563" cy="723900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5563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-342896</wp:posOffset>
          </wp:positionH>
          <wp:positionV relativeFrom="paragraph">
            <wp:posOffset>-9522</wp:posOffset>
          </wp:positionV>
          <wp:extent cx="1343660" cy="604520"/>
          <wp:effectExtent b="0" l="0" r="0" t="0"/>
          <wp:wrapSquare wrapText="bothSides" distB="0" distT="0" distL="114300" distR="114300"/>
          <wp:docPr id="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3660" cy="6045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tkrgE4HYyKtUH82IfcUaRr9HRQ==">AMUW2mVuNnY40JGYY2TrqtYn8RwP9NViaaWT3Xg1SEHc/3r5uyYbWdmj51WiWC+DSu03qeFmPfccmYx7i3gAx4opksbs+HNtWgycRey1yuatdAhb4tRp7Ag=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